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left="9923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widowControl/>
        <w:bidi w:val="0"/>
        <w:spacing w:before="0" w:after="0"/>
        <w:ind w:left="9071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ОНД и ПР по Ржевскому и Зубцовскому районам УНД и ПР </w:t>
      </w:r>
      <w:r>
        <w:rPr>
          <w:sz w:val="28"/>
          <w:szCs w:val="28"/>
        </w:rPr>
        <w:t xml:space="preserve">Главного управления МЧС  России  по  Тверской   области </w:t>
      </w:r>
    </w:p>
    <w:p>
      <w:pPr>
        <w:pStyle w:val="Normal"/>
        <w:ind w:left="10348" w:hanging="0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</w:t>
      </w:r>
      <w:r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НАДЗОРА </w:t>
      </w:r>
      <w:r>
        <w:rPr>
          <w:b/>
          <w:bCs/>
          <w:sz w:val="28"/>
          <w:szCs w:val="28"/>
        </w:rPr>
        <w:t>В ОБЛАСТИ ПОЖАРНОЙ БЕЗОПАСНОСТИ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НАДЗОРНОЙ ДЕЯТЕЛЬНОСТИ И ПРОФИЛАКТИЧЕСКОЙ РАБОТЫ ПО РЖЕВСКОМУ И ЗУБЦОВСКОМУ РАЙОНАМ УПРАВЛЕНИЯ НАДЗОРНОЙ ДЕЯТЕЛЬНОСТИ И ПРОФИЛАКТИЧЕСКОЙ РАБОТЫ </w:t>
      </w:r>
      <w:r>
        <w:rPr>
          <w:b/>
          <w:bCs/>
          <w:sz w:val="28"/>
          <w:szCs w:val="28"/>
        </w:rPr>
        <w:t>ГЛАВНОГО УПРАВЛЕНИЯ МЧС РОССИИ ПО ТВЕРСКОЙ ОБЛАСТИ НА 2023 ГОД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15235" w:type="dxa"/>
        <w:jc w:val="left"/>
        <w:tblInd w:w="-13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4"/>
        <w:gridCol w:w="3827"/>
        <w:gridCol w:w="2269"/>
        <w:gridCol w:w="1813"/>
        <w:gridCol w:w="1985"/>
        <w:gridCol w:w="4506"/>
      </w:tblGrid>
      <w:tr>
        <w:trPr>
          <w:tblHeader w:val="true"/>
          <w:trHeight w:val="836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1. ИНФОРМИРОВАНИЕ 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rPr/>
              <w:t>текстов нормативных правовых актов, регулирующих осуществление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 xml:space="preserve">До 30 апреля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2023 г.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федеральном государственном пожарном надзоре, утвержденного постановлением Правительства Российской Федерации № 290(далее-Положение о ФГПН).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rPr/>
              <w:t>сведений об изменениях, внесенных в нормативные правовые акты, регулирующие осуществление федерального государственного пожарного надзора, о сроках и порядке их вступления в силу.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перечней нормативных правовых актов (их отдельных положений),</w:t>
              <w:tab/>
              <w:t>содержащих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обязательные требования, оценка соблюдения которых осуществляется в</w:t>
            </w:r>
            <w:r>
              <w:rPr/>
              <w:t xml:space="preserve"> </w:t>
            </w:r>
            <w:r>
              <w:rPr>
                <w:rFonts w:eastAsia="Calibri"/>
                <w:lang w:eastAsia="en-US"/>
              </w:rPr>
              <w:t>рамках государственного контроля (надзора),</w:t>
              <w:tab/>
              <w:t>привлечения</w:t>
              <w:tab/>
              <w:t>к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</w:t>
              <w:tab/>
              <w:t>государственный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(надзор), предоставление лицензий и иных разрешений, аккредитацию,</w:t>
              <w:tab/>
              <w:t>с</w:t>
              <w:tab/>
              <w:t>текстами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lang w:eastAsia="en-US"/>
              </w:rPr>
              <w:t>действующих нормативных правовых актов.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  <w:p>
            <w:pPr>
              <w:pStyle w:val="Normal"/>
              <w:ind w:firstLine="7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left="-92" w:right="-86"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соответствии с Федеральным законом от 31 июля 2020г. № 247-ФЗ «Об обязательных требованиях в Российской Федерации» (далее-Федеральный закон №247-ФЗ).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Размещение утвержденных проверочных листов в формате, допускающем их использование для самообследования.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 дней после утверждения, принятия решения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left="-92" w:right="-86"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176"/>
              <w:jc w:val="both"/>
              <w:rPr/>
            </w:pPr>
            <w:r>
              <w:rPr/>
              <w:t>В соответствии с Федеральным законом № 248-ФЗ.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/>
              <w:t xml:space="preserve">Размещение </w:t>
            </w:r>
            <w:r>
              <w:rPr>
                <w:rFonts w:eastAsia="Calibri"/>
                <w:lang w:eastAsia="en-US"/>
              </w:rPr>
              <w:t>руководств по соблюдению обязательных требований.</w:t>
            </w:r>
          </w:p>
          <w:p>
            <w:pPr>
              <w:pStyle w:val="Normal"/>
              <w:spacing w:before="0"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30 апреля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 г.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итогам работы за 2022 год;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 возникновении необходимости – </w:t>
              <w:br/>
              <w:t>в течение месяца после принятия решения</w:t>
            </w:r>
          </w:p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№247-ФЗ, а также приказа МЧС России от 25.11.2016 № 630 «Об утверждении Порядка обобщения и анализа правоприменительной практики органов надзорной деятельности МЧС России» (далее – приказ МЧС России № 630).</w:t>
            </w:r>
          </w:p>
          <w:p>
            <w:pPr>
              <w:pStyle w:val="Normal"/>
              <w:ind w:firstLine="176"/>
              <w:jc w:val="both"/>
              <w:rPr/>
            </w:pPr>
            <w:r>
              <w:rPr/>
              <w:t>Разрабатываются непосредственно или с участием образовательных, научных, и экспертных организаций.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перечня критериев и индикаторов риска нарушения обязательных требований, порядка отнесения объектов надзора к категориям риска.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Размещение соответствующих сведений на официальном интернет-портале МЧС России (mchs.gov.ru) в информационно-телекоммуникационной сети «Интернет», в средствах массовой информации.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eastAsia="en-US"/>
              </w:rPr>
              <w:t xml:space="preserve">Размещение </w:t>
            </w:r>
            <w:r>
              <w:rPr/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2023 г.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исчерпывающего перечня сведений, которые могут запрашиваться органом ГПН у контролируемого 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30 апреля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2023г.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30 апреля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сведений о порядке досудебного обжалования решений органов государственного пожарного надзора, действий (бездействия) его должностных лиц.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Размещения сведений по вопросам соблюдения обязательных требований: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сети «Интернет»;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средствах массовой информации: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ТВ;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радио;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периодической печати.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center"/>
              <w:rPr/>
            </w:pPr>
            <w:r>
              <w:rPr/>
              <w:t>–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right="-79" w:hang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Не реже 1 раза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fill="FFFFFF" w:val="clear"/>
                <w:lang w:eastAsia="en-US"/>
              </w:rPr>
              <w:t>в год.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firstLine="209"/>
              <w:jc w:val="center"/>
              <w:rPr/>
            </w:pPr>
            <w:r>
              <w:rPr/>
              <w:t>–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trike/>
                <w:lang w:eastAsia="en-US"/>
              </w:rPr>
            </w:pPr>
            <w:r>
              <w:rPr>
                <w:rFonts w:eastAsia="Calibri"/>
                <w:b/>
                <w:strike/>
                <w:lang w:eastAsia="en-US"/>
              </w:rPr>
            </w: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порядке, установленном Федеральным законом. № 248-ФЗ.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Учет предостережений и возражений контролируемых лиц на предупреждения.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России»(далее – приказ МЧС России №43).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и общего образования должностными лицами органов ГПН при осуществлении федерального государственного пожарного надзора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а также пунктом 11(4) постановления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 №336). 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и общего образования), относящихся к категории значительного риска, должностным лицам органов ГПН при осуществлении федерального государственного пожарного надзора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На основании анализа нарушений обязательных требований, выявленных в ходе профилактических визитов и плановых КНМ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пунктом 11(4) постановления Правительства Российской Федерации №336.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 КОНСУЛЬТИРОВАНИЕ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Проведение устного консультирования по вопросам соблюдения обязательных требований: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по телефону, посредством видео-конференц-связи, на личном приеме,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в ходе проведения профилактического визита,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в ходе проведения надзорного мероприятия.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районам,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региональные средства массовой информации, 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bCs/>
                <w:lang w:eastAsia="en-US"/>
              </w:rPr>
              <w:t>о месту осуществления деятельности контролируемого лица</w:t>
            </w:r>
            <w:r>
              <w:rPr>
                <w:rFonts w:eastAsia="Calibri"/>
                <w:lang w:eastAsia="en-US"/>
              </w:rPr>
              <w:t xml:space="preserve"> иные способы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Постоянно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по мере поступления обращений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Подготовка письменных разъяснений, подписанных уполномоченным должностным лицом органа государственного пожарного надзора при поступлении 10 однотипных обращений контролируемых лиц и их представителей.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Постоянно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по мере поступления обращений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Учет консультирований.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приказа МЧС России № 43.</w:t>
            </w:r>
          </w:p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>
              <w:rPr/>
              <w:t xml:space="preserve">. </w:t>
            </w:r>
            <w:r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обязательных профилактических визитов по месту осуществления деятельности контролируемого лица: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 и высокого риска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Положения о ФГПН, пункта 11 (3) постановления Правительства Российской Федерации №336.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Положения о ФГПН, пункта 11 (4) постановления Правительства Российской Федерации №336.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предоставления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Положения о ФГПН.</w:t>
            </w:r>
          </w:p>
        </w:tc>
      </w:tr>
      <w:tr>
        <w:trPr>
          <w:trHeight w:val="107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визитов по месту осуществления деятельности контролируемого лица: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социальной инфраструктуры, энергетики и транспорта, энергетики и транспорта, экономики, КВО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 т.д., имеющих общую границу с лесными участками и подверженных угрозе перехода на них ландшафтных (природных) пожаров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 в период Рождественских праздников, Пасхальной недели, Крещения Господне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образовательных организаций всех форм собственности перед началом учебного года в период приемочной кампании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Федерального закона от 24 июля 1998 г. №124-ФЗ «Об основных гарантиях прав ребенка в Российской Федерации».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 и социальной сферы в рамках подготовки и прохождения отопительного сезона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иных объектов надзора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№ 43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№ 630.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Проведение анализа обстановки с пожарами и их последствиями.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от 26.05.2020 № 363</w:t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Подготовка предложений о внесении изменений в законодательство Российской Федерации о пожарной безопасности.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Федеральным законом № 247-ФЗ.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/>
              <w:t>Размещение Доклада о правоприменительной практике 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30 апреля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(по итогам работы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2022 год)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pacing w:val="2"/>
                <w:sz w:val="24"/>
                <w:szCs w:val="24"/>
                <w:shd w:fill="FFFFFF" w:val="clear"/>
                <w:lang w:eastAsia="en-US"/>
              </w:rPr>
              <w:t xml:space="preserve">Информационный стенд  </w:t>
            </w:r>
            <w:r>
              <w:rPr>
                <w:rFonts w:eastAsia="Calibri"/>
                <w:bCs/>
                <w:spacing w:val="2"/>
                <w:sz w:val="24"/>
                <w:szCs w:val="24"/>
                <w:shd w:fill="FFFFFF" w:val="clear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Ржевскому и Зубцовскому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63"/>
              <w:jc w:val="both"/>
              <w:rPr/>
            </w:pPr>
            <w:r>
              <w:rPr/>
              <w:t>В порядке реализации приказа МЧС России № 630.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Н</w:t>
      </w:r>
      <w:bookmarkStart w:id="2" w:name="_Hlk89273587"/>
      <w:r>
        <w:rPr>
          <w:sz w:val="28"/>
          <w:szCs w:val="28"/>
          <w:shd w:fill="FFFFFF" w:val="clear"/>
        </w:rPr>
        <w:t xml:space="preserve">ачальник </w:t>
      </w:r>
      <w:r>
        <w:rPr>
          <w:sz w:val="28"/>
          <w:szCs w:val="28"/>
          <w:shd w:fill="FFFFFF" w:val="clear"/>
        </w:rPr>
        <w:t>ОНД и ПР по Ржевскому и Зубцовскому районам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УНД и ПР Главного управления МЧС России по Тверской области</w:t>
      </w:r>
    </w:p>
    <w:p>
      <w:pPr>
        <w:pStyle w:val="Normal"/>
        <w:ind w:right="284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майор внутренней службы                                                                                                                                          </w:t>
      </w:r>
      <w:bookmarkEnd w:id="2"/>
      <w:r>
        <w:rPr>
          <w:sz w:val="28"/>
          <w:szCs w:val="28"/>
          <w:shd w:fill="FFFFFF" w:val="clear"/>
        </w:rPr>
        <w:t>М.С. Дунаевская</w:t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536" w:header="425" w:top="1134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2622970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3f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f"/>
    <w:qFormat/>
    <w:rsid w:val="00b97fc0"/>
    <w:rPr>
      <w:rFonts w:ascii="Calibri" w:hAnsi="Calibri" w:eastAsia="Calibri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30dc7"/>
    <w:rPr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link w:val="af6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7" w:customStyle="1">
    <w:name w:val="Заг. МЧС Знак"/>
    <w:link w:val="af8"/>
    <w:qFormat/>
    <w:rsid w:val="00330dc7"/>
    <w:rPr>
      <w:rFonts w:eastAsia="Calibri"/>
      <w:sz w:val="28"/>
    </w:rPr>
  </w:style>
  <w:style w:type="character" w:styleId="Style18" w:customStyle="1">
    <w:name w:val="Абзац списка Знак"/>
    <w:link w:val="af3"/>
    <w:uiPriority w:val="34"/>
    <w:qFormat/>
    <w:locked/>
    <w:rsid w:val="00330dc7"/>
    <w:rPr>
      <w:sz w:val="24"/>
      <w:szCs w:val="24"/>
    </w:rPr>
  </w:style>
  <w:style w:type="character" w:styleId="Style19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20" w:customStyle="1">
    <w:name w:val="Основной текст Знак"/>
    <w:basedOn w:val="DefaultParagraphFont"/>
    <w:link w:val="afd"/>
    <w:uiPriority w:val="99"/>
    <w:semiHidden/>
    <w:qFormat/>
    <w:rsid w:val="00330dc7"/>
    <w:rPr/>
  </w:style>
  <w:style w:type="character" w:styleId="Style21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2" w:customStyle="1">
    <w:name w:val="Название Знак"/>
    <w:basedOn w:val="DefaultParagraphFont"/>
    <w:link w:val="a9"/>
    <w:qFormat/>
    <w:locked/>
    <w:rsid w:val="00ef0441"/>
    <w:rPr>
      <w:b/>
      <w:iCs/>
      <w:spacing w:val="-2"/>
      <w:sz w:val="28"/>
    </w:rPr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afe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4"/>
    <w:uiPriority w:val="99"/>
    <w:rsid w:val="007e38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6"/>
    <w:uiPriority w:val="99"/>
    <w:rsid w:val="007e38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tru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8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2">
    <w:name w:val="Title"/>
    <w:basedOn w:val="Normal"/>
    <w:link w:val="aa"/>
    <w:qFormat/>
    <w:rsid w:val="007a3790"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3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4">
    <w:name w:val="Footnote Text"/>
    <w:basedOn w:val="Normal"/>
    <w:link w:val="af0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af4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775122"/>
    <w:pPr>
      <w:tabs>
        <w:tab w:val="clear" w:pos="7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>
    <w:name w:val="TOC 3"/>
    <w:basedOn w:val="Normal"/>
    <w:next w:val="Normal"/>
    <w:autoRedefine/>
    <w:uiPriority w:val="39"/>
    <w:unhideWhenUsed/>
    <w:rsid w:val="00eb0c8f"/>
    <w:pPr>
      <w:tabs>
        <w:tab w:val="clear" w:pos="7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5">
    <w:name w:val="Body Text Indent"/>
    <w:basedOn w:val="Normal"/>
    <w:link w:val="af7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Style36" w:customStyle="1">
    <w:name w:val="Заг. МЧС"/>
    <w:basedOn w:val="13"/>
    <w:link w:val="af9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7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38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39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0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99"/>
    <w:rsid w:val="00b97fc0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BB8E-B095-410A-9EA7-F82BEDC7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Application>LibreOffice/6.4.4.2$Linux_X86_64 LibreOffice_project/40$Build-2</Application>
  <Pages>11</Pages>
  <Words>2219</Words>
  <Characters>15058</Characters>
  <CharactersWithSpaces>17215</CharactersWithSpaces>
  <Paragraphs>281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2021-09-21T18:00:00Z</dcterms:created>
  <dc:creator>Зуева</dc:creator>
  <dc:description/>
  <dc:language>ru-RU</dc:language>
  <cp:lastModifiedBy/>
  <cp:lastPrinted>2022-12-20T07:10:00Z</cp:lastPrinted>
  <dcterms:modified xsi:type="dcterms:W3CDTF">2022-12-28T15:30:47Z</dcterms:modified>
  <cp:revision>45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